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rPr>
          <w:iCs/>
          <w:i/>
        </w:rPr>
        <w:t xml:space="preserve">Synechococcus</w:t>
      </w:r>
      <w:r>
        <w:t xml:space="preserve"> </w:t>
      </w:r>
      <w:r>
        <w:t xml:space="preserve">strains</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We found that PhycoErythrin-rich</w:t>
      </w:r>
      <w:r>
        <w:t xml:space="preserve"> </w:t>
      </w:r>
      <w:r>
        <w:rPr>
          <w:iCs/>
          <w:i/>
        </w:rPr>
        <w:t xml:space="preserve">Synechococcus</w:t>
      </w:r>
      <w:r>
        <w:t xml:space="preserve"> </w:t>
      </w:r>
      <w:r>
        <w:t xml:space="preserve">achieved faster growth rates (µ), across the spectral bandwidths from 405 – 730 nm, under 2.5 µM [O</w:t>
      </w:r>
      <w:r>
        <w:rPr>
          <w:vertAlign w:val="subscript"/>
        </w:rPr>
        <w:t xml:space="preserve">2</w:t>
      </w:r>
      <w:r>
        <w:t xml:space="preserve">], characteristic of Oxygen Minimum Zones (OMZs), than under 250 µM [O</w:t>
      </w:r>
      <w:r>
        <w:rPr>
          <w:vertAlign w:val="subscript"/>
        </w:rPr>
        <w:t xml:space="preserve">2</w:t>
      </w:r>
      <w:r>
        <w:t xml:space="preserve">], whereas PhycoCyanin-rich strain showed generally similar µ under 2.5 and 250 µM [O</w:t>
      </w:r>
      <w:r>
        <w:rPr>
          <w:vertAlign w:val="subscript"/>
        </w:rPr>
        <w:t xml:space="preserve">2</w:t>
      </w:r>
      <w:r>
        <w:t xml:space="preserve">]. For PhycoCyanin- and PhycoErythrin-rich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and to cumulative diel PSII electron flux, although the relations vary across strain and [O</w:t>
      </w:r>
      <w:r>
        <w:rPr>
          <w:vertAlign w:val="subscript"/>
        </w:rPr>
        <w:t xml:space="preserve">2</w:t>
      </w:r>
      <w:r>
        <w:t xml:space="preserve">]. Electron transport downstream of Photosystem II was generally higher for both PhycoCyanin- and PhycoErythrin-rich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Even though electron transport was faster under 250 µM [O</w:t>
      </w:r>
      <w:r>
        <w:rPr>
          <w:vertAlign w:val="subscript"/>
        </w:rPr>
        <w:t xml:space="preserve">2</w:t>
      </w:r>
      <w:r>
        <w:t xml:space="preserve">], the PhycoErythrin-rich strain showed a higher growth yield of electron transport under 2.5 µM [O</w:t>
      </w:r>
      <w:r>
        <w:rPr>
          <w:vertAlign w:val="subscript"/>
        </w:rPr>
        <w:t xml:space="preserve">2</w:t>
      </w:r>
      <w:r>
        <w:t xml:space="preserve">]. PhycoErythrin-rich</w:t>
      </w:r>
      <w:r>
        <w:t xml:space="preserve"> </w:t>
      </w:r>
      <w:r>
        <w:rPr>
          <w:iCs/>
          <w:i/>
        </w:rPr>
        <w:t xml:space="preserve">Synechococcus</w:t>
      </w:r>
      <w:r>
        <w:t xml:space="preserve"> </w:t>
      </w:r>
      <w:r>
        <w:t xml:space="preserve">are currently typically found at greater depths, and lower light, than are PhycoCyanin-rich strains, but we suggest that the PhycoErythrin-rich strains are actually limited to lower light by an interaction between light and full air-saturated [O</w:t>
      </w:r>
      <w:r>
        <w:rPr>
          <w:vertAlign w:val="subscript"/>
        </w:rPr>
        <w:t xml:space="preserve">2</w:t>
      </w:r>
      <w:r>
        <w:t xml:space="preserve">]. In expanding Oxygen Minimum Zones PhycoErythrin-rich strains will likely exploit higher light niches, across a wider spectral range.</w:t>
      </w:r>
    </w:p>
    <w:p>
      <w:pPr>
        <w:pStyle w:val="BodyText"/>
      </w:pPr>
    </w:p>
    <w:p>
      <w:pPr>
        <w:pStyle w:val="BodyText"/>
      </w:pPr>
      <w:r>
        <w:rPr>
          <w:bCs/>
          <w:b/>
        </w:rPr>
        <w:t xml:space="preserve">Key words:</w:t>
      </w:r>
      <w:r>
        <w:t xml:space="preserve"> </w:t>
      </w:r>
      <w:r>
        <w:t xml:space="preserve">Colour, niches, OMZs, oxygen concentration, PC-rich strain, PE-rich strain, spectral wavebands,</w:t>
      </w:r>
      <w:r>
        <w:t xml:space="preserve"> </w:t>
      </w:r>
      <w:r>
        <w:rPr>
          <w:iCs/>
          <w:i/>
        </w:rPr>
        <w:t xml:space="preserve">Synechococcus</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therefore,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such as changes in energy metabolism, antioxidant defense mechanisms, and cellular structures optimized for oxygen scavenging and storage</w:t>
      </w:r>
      <w:r>
        <w:t xml:space="preserve"> </w:t>
      </w:r>
      <w:r>
        <w:t xml:space="preserve">(Ulloa et al. 2012, 2021;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PC-rich and PE-rich strains can coexist in white light but show spectral niche differentiation</w:t>
      </w:r>
      <w:r>
        <w:t xml:space="preserve"> </w:t>
      </w:r>
      <w:r>
        <w:t xml:space="preserve">(Haverkamp 2008)</w:t>
      </w:r>
      <w:r>
        <w:t xml:space="preserve">.</w:t>
      </w:r>
    </w:p>
    <w:p>
      <w:pPr>
        <w:pStyle w:val="BodyText"/>
      </w:pPr>
      <w:r>
        <w:t xml:space="preserve">PE-rich strains, with high content of the chromophore phycourobilin (PUB), dominate oligotrophic deep waters where blue light predominates, and deep communities in more mesotrophic marine waters, characterized by blue-green light environments</w:t>
      </w:r>
      <w:r>
        <w:t xml:space="preserve"> </w:t>
      </w:r>
      <w:r>
        <w:t xml:space="preserve">(Stomp et al. 2004; Haverkamp et al. 2009)</w:t>
      </w:r>
      <w:r>
        <w:t xml:space="preserve"> </w:t>
      </w:r>
      <w:r>
        <w:t xml:space="preserve">are shifting towards PE-rich Synechococcus with more phycoerythrobilin (PEB). Conversely, PC-rich strains prevail near the surface, and in turbid waters where orange and red light dominate. The widespread coexistence of PC-rich and PE-rich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hours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and under 250 µM or 2.5 µM [O</w:t>
      </w:r>
      <w:r>
        <w:rPr>
          <w:vertAlign w:val="subscript"/>
        </w:rPr>
        <w:t xml:space="preserve">2</w:t>
      </w:r>
      <w:r>
        <w:t xml:space="preserve">]. Culture tubes were closed with an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surface treated Tissue Culture (TC) black walled 96-well plates (Corning® Falcon® Microplate, MilliporeSigma, Merck, Darmstadt, Germany) with a transparent flat bottom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differentiates cyanobacterial cells from co-occurring heterotrophic bacteria, and counted using a 63x objective in fluorescence imaging modes. Quantitative analysis on images acquired from automated microscopy obtained from 96-well microplates was performed using the CellReporterXpress Image Acquisition and Analysis Software. The representative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Additionally, we summed PE, PC, and APC protein to total Phycobiliproteins content.</w:t>
      </w:r>
    </w:p>
    <w:p>
      <w:pPr>
        <w:pStyle w:val="BodyText"/>
      </w:pPr>
      <w:r>
        <w:t xml:space="preserve">Using whole-cell absorbance spectra of</w:t>
      </w:r>
      <w:r>
        <w:t xml:space="preserve"> </w:t>
      </w:r>
      <w:r>
        <w:rPr>
          <w:iCs/>
          <w:i/>
        </w:rPr>
        <w:t xml:space="preserve">Synechococcus</w:t>
      </w:r>
      <w:r>
        <w:t xml:space="preserve"> </w:t>
      </w:r>
      <w:r>
        <w:t xml:space="preserve">cultures, we also estimated Photosynthetically Usable Radiation (PUR;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w:t>
      </w:r>
    </w:p>
    <w:p>
      <w:pPr>
        <w:pStyle w:val="BodyText"/>
      </w:pPr>
    </w:p>
    <w:bookmarkEnd w:id="27"/>
    <w:bookmarkStart w:id="28" w:name="X021d0f016052fa3d0d9bd80af213b79ce364ef8"/>
    <w:p>
      <w:pPr>
        <w:pStyle w:val="Heading2"/>
      </w:pPr>
      <w:r>
        <w:t xml:space="preserve">PSII effective absorption cross section of PSII, turnover time of PSII photochemistry, and photochemical quenching</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r>
        <w:t xml:space="preserve">To generate an index of the ratio of Chl</w:t>
      </w:r>
      <w:r>
        <w:t xml:space="preserve"> </w:t>
      </w:r>
      <w:r>
        <w:rPr>
          <w:iCs/>
          <w:i/>
        </w:rPr>
        <w:t xml:space="preserve">a</w:t>
      </w:r>
      <w:r>
        <w:t xml:space="preserve"> </w:t>
      </w:r>
      <w:r>
        <w:t xml:space="preserve">: PSII we divided PSII electron transport (e- PSII</w:t>
      </w:r>
      <w:r>
        <w:rPr>
          <w:vertAlign w:val="superscript"/>
        </w:rPr>
        <w:t xml:space="preserve">-1</w:t>
      </w:r>
      <w:r>
        <w:t xml:space="preserve"> </w:t>
      </w:r>
      <w:r>
        <w:t xml:space="preserve">s</w:t>
      </w:r>
      <w:r>
        <w:rPr>
          <w:vertAlign w:val="superscript"/>
        </w:rPr>
        <w:t xml:space="preserve">-1</w:t>
      </w:r>
      <w:r>
        <w:t xml:space="preserve">) by</w:t>
      </w:r>
      <w:r>
        <w:t xml:space="preserve"> </w:t>
      </w:r>
      <w:r>
        <w:rPr>
          <w:iCs/>
          <w:i/>
        </w:rPr>
        <w:t xml:space="preserve">JV</w:t>
      </w:r>
      <w:r>
        <w:rPr>
          <w:vertAlign w:val="subscript"/>
        </w:rPr>
        <w:t xml:space="preserve">PSII</w:t>
      </w:r>
      <w:r>
        <w:t xml:space="preserve"> </w:t>
      </w:r>
      <w:r>
        <w:t xml:space="preserve">(e- Chl</w:t>
      </w:r>
      <w:r>
        <w:rPr>
          <w:vertAlign w:val="superscript"/>
        </w:rPr>
        <w:t xml:space="preserve">-1</w:t>
      </w:r>
      <w:r>
        <w:t xml:space="preserve"> </w:t>
      </w:r>
      <w:r>
        <w:t xml:space="preserve">s</w:t>
      </w:r>
      <w:r>
        <w:rPr>
          <w:vertAlign w:val="superscript"/>
        </w:rPr>
        <w:t xml:space="preserve">-1</w:t>
      </w:r>
      <w:r>
        <w:t xml:space="preserve">), both estimated under Ex</w:t>
      </w:r>
      <w:r>
        <w:rPr>
          <w:vertAlign w:val="subscript"/>
        </w:rPr>
        <w:t xml:space="preserve">445nm</w:t>
      </w:r>
      <w:r>
        <w:t xml:space="preserve">, with units cancelling to Chl</w:t>
      </w:r>
      <w:r>
        <w:t xml:space="preserve"> </w:t>
      </w:r>
      <w:r>
        <w:rPr>
          <w:iCs/>
          <w:i/>
        </w:rPr>
        <w:t xml:space="preserve">a</w:t>
      </w:r>
      <w:r>
        <w:t xml:space="preserve"> </w:t>
      </w:r>
      <w:r>
        <w:t xml:space="preserve">: PSII. Since the number of Chl</w:t>
      </w:r>
      <w:r>
        <w:t xml:space="preserve"> </w:t>
      </w:r>
      <w:r>
        <w:rPr>
          <w:iCs/>
          <w:i/>
        </w:rPr>
        <w:t xml:space="preserve">a</w:t>
      </w:r>
      <w:r>
        <w:t xml:space="preserve"> </w:t>
      </w:r>
      <w:r>
        <w:t xml:space="preserve">directly associated with the core of PSII is fixed, variations in Chl</w:t>
      </w:r>
      <w:r>
        <w:t xml:space="preserve"> </w:t>
      </w:r>
      <w:r>
        <w:rPr>
          <w:iCs/>
          <w:i/>
        </w:rPr>
        <w:t xml:space="preserve">a</w:t>
      </w:r>
      <w:r>
        <w:t xml:space="preserve"> </w:t>
      </w:r>
      <w:r>
        <w:t xml:space="preserve">to PSII reflect changes in the PSI:PSII ratio, and possibly the presence of other chl-containing complexes.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Table S4) or pigment content (Table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(Table S6); τ</w:t>
      </w:r>
      <w:r>
        <w:rPr>
          <w:vertAlign w:val="subscript"/>
        </w:rPr>
        <w:t xml:space="preserve">PSII</w:t>
      </w:r>
      <w:r>
        <w:t xml:space="preserve"> </w:t>
      </w:r>
      <w:r>
        <w:t xml:space="preserve">(Table S7); q</w:t>
      </w:r>
      <w:r>
        <w:rPr>
          <w:vertAlign w:val="subscript"/>
        </w:rPr>
        <w:t xml:space="preserve">P</w:t>
      </w:r>
      <w:r>
        <w:t xml:space="preserve"> </w:t>
      </w:r>
      <w:r>
        <w:t xml:space="preserve">(Table S8); or</w:t>
      </w:r>
      <w:r>
        <w:t xml:space="preserve"> </w:t>
      </w:r>
      <w:r>
        <w:rPr>
          <w:iCs/>
          <w:i/>
        </w:rPr>
        <w:t xml:space="preserve">JV</w:t>
      </w:r>
      <w:r>
        <w:rPr>
          <w:vertAlign w:val="subscript"/>
        </w:rPr>
        <w:t xml:space="preserve">PSII</w:t>
      </w:r>
      <w:r>
        <w:t xml:space="preserve"> </w:t>
      </w:r>
      <w:r>
        <w:t xml:space="preserve">(Table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 Three-way factorial ANOVA (</w:t>
      </w:r>
      <w:r>
        <w:rPr>
          <w:iCs/>
          <w:i/>
        </w:rPr>
        <w:t xml:space="preserve">aov()</w:t>
      </w:r>
      <w:r>
        <w:t xml:space="preserve"> </w:t>
      </w:r>
      <w:r>
        <w:t xml:space="preserve">function; R Base package) was performed to determine whether strain, growth waveband, and [O</w:t>
      </w:r>
      <w:r>
        <w:rPr>
          <w:vertAlign w:val="subscript"/>
        </w:rPr>
        <w:t xml:space="preserve">2</w:t>
      </w:r>
      <w:r>
        <w:t xml:space="preserve">] significantly influence Chl</w:t>
      </w:r>
      <w:r>
        <w:t xml:space="preserve"> </w:t>
      </w:r>
      <w:r>
        <w:rPr>
          <w:iCs/>
          <w:i/>
        </w:rPr>
        <w:t xml:space="preserve">a</w:t>
      </w:r>
      <w:r>
        <w:t xml:space="preserve"> </w:t>
      </w:r>
      <w:r>
        <w:t xml:space="preserve">to PSII (Table S10).</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(Table S11).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(Table S12).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p>
    <w:p>
      <w:pPr>
        <w:pStyle w:val="BodyText"/>
      </w:pP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both [O</w:t>
      </w:r>
      <w:r>
        <w:rPr>
          <w:vertAlign w:val="subscript"/>
        </w:rPr>
        <w:t xml:space="preserve">2</w:t>
      </w:r>
      <w:r>
        <w:t xml:space="preserve">] and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We also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 Moreover, phycobiliproteins:Chlorophyll</w:t>
      </w:r>
      <w:r>
        <w:t xml:space="preserve"> </w:t>
      </w:r>
      <w:r>
        <w:rPr>
          <w:iCs/>
          <w:i/>
        </w:rPr>
        <w:t xml:space="preserve">a</w:t>
      </w:r>
      <w:r>
        <w:t xml:space="preserve"> </w:t>
      </w:r>
      <w:r>
        <w:t xml:space="preserve">ratio (µg:µg) and chlorophyll-specific growth rates (µ; d</w:t>
      </w:r>
      <w:r>
        <w:rPr>
          <w:vertAlign w:val="superscript"/>
        </w:rPr>
        <w:t xml:space="preserve">−1</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and PE-rich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or 2.5 µM [O</w:t>
      </w:r>
      <w:r>
        <w:rPr>
          <w:vertAlign w:val="subscript"/>
        </w:rPr>
        <w:t xml:space="preserve">2</w:t>
      </w:r>
      <w:r>
        <w:t xml:space="preserve">] are presented in Fig. S4.</w:t>
      </w:r>
    </w:p>
    <w:p>
      <w:pPr>
        <w:pStyle w:val="BodyText"/>
      </w:pPr>
      <w:r>
        <w:t xml:space="preserve">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(Table S11).</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S5-S7),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we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S8).</w:t>
      </w:r>
    </w:p>
    <w:p>
      <w:pPr>
        <w:pStyle w:val="BodyText"/>
      </w:pP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Conversely,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was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Table S12). In the PC-rich strain higher [O</w:t>
      </w:r>
      <w:r>
        <w:rPr>
          <w:vertAlign w:val="subscript"/>
        </w:rPr>
        <w:t xml:space="preserve">2</w:t>
      </w:r>
      <w:r>
        <w:t xml:space="preserve">] increases the growth yield of electron transport. In contrast, the PE-rich strain, under higher [O</w:t>
      </w:r>
      <w:r>
        <w:rPr>
          <w:vertAlign w:val="subscript"/>
        </w:rPr>
        <w:t xml:space="preserve">2</w:t>
      </w:r>
      <w:r>
        <w:t xml:space="preserve">], decreases the growth yield of electron transport. However,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Table S12).</w:t>
      </w:r>
    </w:p>
    <w:p>
      <w:pPr>
        <w:pStyle w:val="BodyText"/>
      </w:pPr>
      <w:r>
        <w:t xml:space="preserve">Strain, actinic PAR waveband, and [O</w:t>
      </w:r>
      <w:r>
        <w:rPr>
          <w:vertAlign w:val="subscript"/>
        </w:rPr>
        <w:t xml:space="preserve">2</w:t>
      </w:r>
      <w:r>
        <w:t xml:space="preserve">] significantly influence Strain, Actinic PAR, and [O</w:t>
      </w:r>
      <w:r>
        <w:rPr>
          <w:vertAlign w:val="subscript"/>
        </w:rPr>
        <w:t xml:space="preserve">2</w:t>
      </w:r>
      <w:r>
        <w:t xml:space="preserve">] significantly influence our metric of Chl</w:t>
      </w:r>
      <w:r>
        <w:t xml:space="preserve"> </w:t>
      </w:r>
      <w:r>
        <w:rPr>
          <w:iCs/>
          <w:i/>
        </w:rPr>
        <w:t xml:space="preserve">a</w:t>
      </w:r>
      <w:r>
        <w:t xml:space="preserve"> </w:t>
      </w:r>
      <w:r>
        <w:t xml:space="preserve">: PSII (Fig. S9, Table S10), with Chl</w:t>
      </w:r>
      <w:r>
        <w:t xml:space="preserve"> </w:t>
      </w:r>
      <w:r>
        <w:rPr>
          <w:iCs/>
          <w:i/>
        </w:rPr>
        <w:t xml:space="preserve">a</w:t>
      </w:r>
      <w:r>
        <w:t xml:space="preserve"> </w:t>
      </w:r>
      <w:r>
        <w:t xml:space="preserve">: PSII higher under 250 than under 2.5 µM [O</w:t>
      </w:r>
      <w:r>
        <w:rPr>
          <w:vertAlign w:val="subscript"/>
        </w:rPr>
        <w:t xml:space="preserve">2</w:t>
      </w:r>
      <w:r>
        <w:t xml:space="preserve">] in the PC-rich strain, and Chl</w:t>
      </w:r>
      <w:r>
        <w:t xml:space="preserve"> </w:t>
      </w:r>
      <w:r>
        <w:rPr>
          <w:iCs/>
          <w:i/>
        </w:rPr>
        <w:t xml:space="preserve">a</w:t>
      </w:r>
      <w:r>
        <w:t xml:space="preserve"> </w:t>
      </w:r>
      <w:r>
        <w:t xml:space="preserve">: PSII generally lower in the PC-rich stain compared to the PE-rich strain.</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from the genus</w:t>
      </w:r>
      <w:r>
        <w:t xml:space="preserve"> </w:t>
      </w:r>
      <w:r>
        <w:rPr>
          <w:iCs/>
          <w:i/>
        </w:rPr>
        <w:t xml:space="preserve">Synechococcus</w:t>
      </w:r>
      <w:r>
        <w:t xml:space="preserve"> </w:t>
      </w:r>
      <w:r>
        <w:t xml:space="preserve">are major contributors to primary marine production, across a wide range of environments</w:t>
      </w:r>
      <w:r>
        <w:t xml:space="preserve"> </w:t>
      </w:r>
      <w:r>
        <w:t xml:space="preserve">(Śliwińska-Wilczewska et al. 2018a; Aguilera et al. 2023)</w:t>
      </w:r>
      <w:r>
        <w:t xml:space="preserve"> </w:t>
      </w:r>
      <w:r>
        <w:t xml:space="preserve">but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sometimes [O</w:t>
      </w:r>
      <w:r>
        <w:rPr>
          <w:vertAlign w:val="subscript"/>
        </w:rPr>
        <w:t xml:space="preserve">2</w:t>
      </w:r>
      <w:r>
        <w:t xml:space="preserve">], by vertical movements through the mixed layer. Fluctuation in spectral wavebands changes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(Fig. S4),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not suppress, and sometimes even benefit, growth of strains representing different</w:t>
      </w:r>
      <w:r>
        <w:t xml:space="preserve"> </w:t>
      </w:r>
      <w:r>
        <w:rPr>
          <w:iCs/>
          <w:i/>
        </w:rPr>
        <w:t xml:space="preserve">Synechococcus</w:t>
      </w:r>
      <w:r>
        <w:t xml:space="preserve"> </w:t>
      </w:r>
      <w:r>
        <w:t xml:space="preserve">pigment 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w:t>
      </w:r>
      <w:r>
        <w:t xml:space="preserve"> </w:t>
      </w:r>
      <w:r>
        <w:rPr>
          <w:iCs/>
          <w:i/>
        </w:rPr>
        <w:t xml:space="preserve">Synechococcus</w:t>
      </w:r>
      <w:r>
        <w:t xml:space="preserve"> </w:t>
      </w:r>
      <w:r>
        <w:t xml:space="preserve">strain showed generally similar growth rates under high and low tested [O</w:t>
      </w:r>
      <w:r>
        <w:rPr>
          <w:vertAlign w:val="subscript"/>
        </w:rPr>
        <w:t xml:space="preserve">2</w:t>
      </w:r>
      <w:r>
        <w:t xml:space="preserve">], while the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at least some PE-rich strains may actually be limited to lower light niches by the interactions between light level, spectral band, and full air-saturated [O</w:t>
      </w:r>
      <w:r>
        <w:rPr>
          <w:vertAlign w:val="subscript"/>
        </w:rPr>
        <w:t xml:space="preserve">2</w:t>
      </w:r>
      <w:r>
        <w:t xml:space="preserve">]. In lower oxygen waters some PE-rich strains may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under low light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(Wilson et al. 2006; Gorbunov et al. 2011; 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chosen PE-rich strain, the carotenoids content did not change across tested wavebands. On the other hand, for the chosen PC-rich strain, a slight increase in carotenoids content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−2</w:t>
      </w:r>
      <w:r>
        <w:t xml:space="preserve">s</w:t>
      </w:r>
      <w:r>
        <w:rPr>
          <w:vertAlign w:val="superscript"/>
        </w:rPr>
        <w:t xml:space="preserve">−1</w:t>
      </w:r>
      <w:r>
        <w:t xml:space="preserve"> </w:t>
      </w:r>
      <w:r>
        <w:t xml:space="preserve">(Campbell and Oquist 1996)</w:t>
      </w:r>
      <w:r>
        <w:t xml:space="preserve">, reflecting the state transition from State II in the dark towards State I near the growth light level, with subsequent decrease in σ</w:t>
      </w:r>
      <w:r>
        <w:rPr>
          <w:vertAlign w:val="subscript"/>
        </w:rPr>
        <w:t xml:space="preserve">PSII</w:t>
      </w:r>
      <w:r>
        <w:t xml:space="preserve">, as excitation is again directed away from PSII.</w:t>
      </w:r>
    </w:p>
    <w:p>
      <w:pPr>
        <w:pStyle w:val="BodyText"/>
      </w:pPr>
      <w:r>
        <w:t xml:space="preserve">τ</w:t>
      </w:r>
      <w:r>
        <w:rPr>
          <w:vertAlign w:val="subscript"/>
        </w:rPr>
        <w:t xml:space="preserve">PSII</w:t>
      </w:r>
      <w:r>
        <w:t xml:space="preserve"> </w:t>
      </w:r>
      <w:r>
        <w:t xml:space="preserve">was generally faster for both the chosen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Allahverdiyeva et al. 2015; Hughes et al. 2018)</w:t>
      </w:r>
      <w:r>
        <w:t xml:space="preserve">, thereby controlling feedback inhibition of electron transport. In parallel,q</w:t>
      </w:r>
      <w:r>
        <w:rPr>
          <w:vertAlign w:val="subscript"/>
        </w:rPr>
        <w:t xml:space="preserve">P</w:t>
      </w:r>
      <w:r>
        <w:t xml:space="preserve"> </w:t>
      </w:r>
      <w:r>
        <w:t xml:space="preserve">was generally higher for the PC-rich, and particularly for the PE-rich strain,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−2</w:t>
      </w:r>
      <w:r>
        <w:t xml:space="preserve">s</w:t>
      </w:r>
      <w:r>
        <w:rPr>
          <w:vertAlign w:val="superscript"/>
        </w:rPr>
        <w:t xml:space="preserve">−1</w:t>
      </w:r>
      <w:r>
        <w:t xml:space="preserve">. In spite of this faster electron transport performance under 250 µM [O</w:t>
      </w:r>
      <w:r>
        <w:rPr>
          <w:vertAlign w:val="subscript"/>
        </w:rPr>
        <w:t xml:space="preserve">2</w:t>
      </w:r>
      <w:r>
        <w:t xml:space="preserve">] the PE-rich strain grew faster under 2.5 µM [O</w:t>
      </w:r>
      <w:r>
        <w:rPr>
          <w:vertAlign w:val="subscript"/>
        </w:rPr>
        <w:t xml:space="preserve">2</w:t>
      </w:r>
      <w:r>
        <w:t xml:space="preserve">], showing an increase in the growth return upon electron transport, possibly because of a decrease in metabolic burden, through suppression of ROS formation under lower [O</w:t>
      </w:r>
      <w:r>
        <w:rPr>
          <w:vertAlign w:val="subscript"/>
        </w:rPr>
        <w:t xml:space="preserve">2</w:t>
      </w:r>
      <w:r>
        <w:t xml:space="preserve">]. Future genomic comparisons may uncover the bases for these distinct strain responses to changing [O</w:t>
      </w:r>
      <w:r>
        <w:rPr>
          <w:vertAlign w:val="subscript"/>
        </w:rPr>
        <w:t xml:space="preserve">2</w:t>
      </w:r>
      <w:r>
        <w:t xml:space="preserve">].</w:t>
      </w:r>
    </w:p>
    <w:p>
      <w:pPr>
        <w:pStyle w:val="BodyText"/>
      </w:pPr>
      <w:r>
        <w:t xml:space="preserve">Picocyanobacteria numerically dominate vast tracts of the oceans, contributing significant primary production, particularly in oligotrophic regions, but also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2004, 2007; Haverkamp et al. 2009)</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wavebands interact with [O</w:t>
      </w:r>
      <w:r>
        <w:rPr>
          <w:vertAlign w:val="subscript"/>
        </w:rPr>
        <w:t xml:space="preserve">2</w:t>
      </w:r>
      <w:r>
        <w:t xml:space="preserve">] as determinants of growth rates across PE- and PC-rich strains of</w:t>
      </w:r>
      <w:r>
        <w:t xml:space="preserve"> </w:t>
      </w:r>
      <w:r>
        <w:rPr>
          <w:iCs/>
          <w:i/>
        </w:rPr>
        <w:t xml:space="preserve">Synechococcus</w:t>
      </w:r>
      <w:r>
        <w:t xml:space="preserve">, and that changing ocean [O</w:t>
      </w:r>
      <w:r>
        <w:rPr>
          <w:vertAlign w:val="subscript"/>
        </w:rPr>
        <w:t xml:space="preserve">2</w:t>
      </w:r>
      <w:r>
        <w:t xml:space="preserve">] might drive strains of different pigmentation phenotypes into changing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would like to express our sincere gratitude to the Editor, and two Reviewers for their efforts reviewing and improving this manuscript. 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91" w:name="references"/>
    <w:p>
      <w:pPr>
        <w:pStyle w:val="Heading1"/>
      </w:pPr>
      <w:r>
        <w:t xml:space="preserve">References</w:t>
      </w:r>
    </w:p>
    <w:bookmarkStart w:id="190"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X74c65f1be0441395ba4f449ec413c17df482038"/>
    <w:p>
      <w:pPr>
        <w:pStyle w:val="Bibliography"/>
      </w:pPr>
      <w:r>
        <w:t xml:space="preserve">Ulloa, O., Henríquez-Castillo, C., Ramírez-Flandes, S., Plominsky, A.M., Murillo, A.A., Morgan-Lang, C., Hallam, S.J., and Stepanauskas, R. 2021. The cyanobacterium</w:t>
      </w:r>
      <w:r>
        <w:t xml:space="preserve"> </w:t>
      </w:r>
      <w:r>
        <w:t xml:space="preserve">Prochlorococcus</w:t>
      </w:r>
      <w:r>
        <w:t xml:space="preserve"> </w:t>
      </w:r>
      <w:r>
        <w:t xml:space="preserve">has divergent light-harvesting antennae and may have evolved in a low-oxygen ocean. Proceedings of the National Academy of Sciences</w:t>
      </w:r>
      <w:r>
        <w:t xml:space="preserve"> </w:t>
      </w:r>
      <w:r>
        <w:rPr>
          <w:bCs/>
          <w:b/>
        </w:rPr>
        <w:t xml:space="preserve">118</w:t>
      </w:r>
      <w:r>
        <w:t xml:space="preserve">(11): e2025638118. Proceedings of the National Academy of Sciences. doi:</w:t>
      </w:r>
      <w:hyperlink r:id="rId176">
        <w:r>
          <w:rPr>
            <w:rStyle w:val="Hyperlink"/>
          </w:rPr>
          <w:t xml:space="preserve">10.1073/pnas.2025638118</w:t>
        </w:r>
      </w:hyperlink>
      <w:r>
        <w:t xml:space="preserve">.</w:t>
      </w:r>
    </w:p>
    <w:bookmarkEnd w:id="177"/>
    <w:bookmarkStart w:id="179"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8">
        <w:r>
          <w:rPr>
            <w:rStyle w:val="Hyperlink"/>
          </w:rPr>
          <w:t xml:space="preserve">10.1007/978-3-319-24277-4_9</w:t>
        </w:r>
      </w:hyperlink>
      <w:r>
        <w:t xml:space="preserve">.</w:t>
      </w:r>
    </w:p>
    <w:bookmarkEnd w:id="179"/>
    <w:bookmarkStart w:id="181"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80">
        <w:r>
          <w:rPr>
            <w:rStyle w:val="Hyperlink"/>
          </w:rPr>
          <w:t xml:space="preserve">10.1105/tpc.105.040121</w:t>
        </w:r>
      </w:hyperlink>
      <w:r>
        <w:t xml:space="preserve">.</w:t>
      </w:r>
    </w:p>
    <w:bookmarkEnd w:id="181"/>
    <w:bookmarkStart w:id="183"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2">
        <w:r>
          <w:rPr>
            <w:rStyle w:val="Hyperlink"/>
          </w:rPr>
          <w:t xml:space="preserve">10.1002/cyto.a.24508</w:t>
        </w:r>
      </w:hyperlink>
      <w:r>
        <w:t xml:space="preserve">.</w:t>
      </w:r>
    </w:p>
    <w:bookmarkEnd w:id="183"/>
    <w:bookmarkStart w:id="185"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4">
        <w:r>
          <w:rPr>
            <w:rStyle w:val="Hyperlink"/>
          </w:rPr>
          <w:t xml:space="preserve">10.1002/lno.12367</w:t>
        </w:r>
      </w:hyperlink>
      <w:r>
        <w:t xml:space="preserve">.</w:t>
      </w:r>
    </w:p>
    <w:bookmarkEnd w:id="185"/>
    <w:bookmarkStart w:id="187"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6">
        <w:r>
          <w:rPr>
            <w:rStyle w:val="Hyperlink"/>
          </w:rPr>
          <w:t xml:space="preserve">10.1016/j.bbabio.2017.03.003</w:t>
        </w:r>
      </w:hyperlink>
      <w:r>
        <w:t xml:space="preserve">.</w:t>
      </w:r>
    </w:p>
    <w:bookmarkEnd w:id="187"/>
    <w:bookmarkStart w:id="189"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8">
        <w:r>
          <w:rPr>
            <w:rStyle w:val="Hyperlink"/>
          </w:rPr>
          <w:t xml:space="preserve">10.3389/fmars.2018.00281</w:t>
        </w:r>
      </w:hyperlink>
      <w:r>
        <w:t xml:space="preserve">.</w:t>
      </w:r>
    </w:p>
    <w:bookmarkEnd w:id="189"/>
    <w:bookmarkEnd w:id="190"/>
    <w:bookmarkEnd w:id="19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Synechococcus strains can exploit low oxygen habitats</dc:title>
  <dc:creator>Sylwia Śliwińska-Wilczewska1,2, Mireille Savoie1, and Douglas A. Campbell1,✉</dc:creator>
  <cp:keywords/>
  <dcterms:created xsi:type="dcterms:W3CDTF">2024-09-27T11:52:43Z</dcterms:created>
  <dcterms:modified xsi:type="dcterms:W3CDTF">2024-09-27T11:52:43Z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